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E809" w14:textId="07CFA7F7" w:rsidR="003D769B" w:rsidRPr="005E2E85" w:rsidRDefault="00741C50" w:rsidP="00B0770C">
      <w:pPr>
        <w:spacing w:before="240" w:after="240"/>
        <w:jc w:val="center"/>
        <w:rPr>
          <w:rFonts w:ascii="Garamond" w:eastAsia="Times New Roman" w:hAnsi="Garamond" w:cs="Times New Roman"/>
          <w:b/>
          <w:bCs/>
          <w:sz w:val="24"/>
          <w:szCs w:val="24"/>
        </w:rPr>
      </w:pPr>
      <w:r w:rsidRPr="005E2E85">
        <w:rPr>
          <w:rFonts w:ascii="Garamond" w:eastAsia="Times New Roman" w:hAnsi="Garamond" w:cs="Times New Roman"/>
          <w:b/>
          <w:bCs/>
          <w:sz w:val="24"/>
          <w:szCs w:val="24"/>
        </w:rPr>
        <w:t>The Harmful Interplay of Child Welfare and Anti-Trafficking Policies in Rhode Island</w:t>
      </w:r>
    </w:p>
    <w:p w14:paraId="00000003" w14:textId="6770C5AF" w:rsidR="00AD541C" w:rsidRPr="005E2E85" w:rsidRDefault="00CF0742" w:rsidP="00B0770C">
      <w:pPr>
        <w:spacing w:before="240" w:after="240"/>
        <w:ind w:firstLine="720"/>
        <w:rPr>
          <w:rFonts w:ascii="Garamond" w:eastAsia="Times New Roman" w:hAnsi="Garamond" w:cs="Times New Roman"/>
        </w:rPr>
      </w:pPr>
      <w:r w:rsidRPr="005E2E85">
        <w:rPr>
          <w:rFonts w:ascii="Garamond" w:eastAsia="Times New Roman" w:hAnsi="Garamond" w:cs="Times New Roman"/>
        </w:rPr>
        <w:t xml:space="preserve">Rhode Island’s child welfare system is in a major crisis. </w:t>
      </w:r>
      <w:r w:rsidR="00A56782" w:rsidRPr="005E2E85">
        <w:rPr>
          <w:rFonts w:ascii="Garamond" w:eastAsia="Times New Roman" w:hAnsi="Garamond" w:cs="Times New Roman"/>
        </w:rPr>
        <w:t>For the longest time</w:t>
      </w:r>
      <w:r w:rsidRPr="005E2E85">
        <w:rPr>
          <w:rFonts w:ascii="Garamond" w:eastAsia="Times New Roman" w:hAnsi="Garamond" w:cs="Times New Roman"/>
        </w:rPr>
        <w:t xml:space="preserve">, the Department of Children, Youth, and Families (DCYF) of Rhode Island has </w:t>
      </w:r>
      <w:r w:rsidR="00A56782" w:rsidRPr="005E2E85">
        <w:rPr>
          <w:rFonts w:ascii="Garamond" w:eastAsia="Times New Roman" w:hAnsi="Garamond" w:cs="Times New Roman"/>
        </w:rPr>
        <w:t>shown</w:t>
      </w:r>
      <w:r w:rsidRPr="005E2E85">
        <w:rPr>
          <w:rFonts w:ascii="Garamond" w:eastAsia="Times New Roman" w:hAnsi="Garamond" w:cs="Times New Roman"/>
        </w:rPr>
        <w:t xml:space="preserve"> their ineptitud</w:t>
      </w:r>
      <w:r w:rsidR="007D5528" w:rsidRPr="005E2E85">
        <w:rPr>
          <w:rFonts w:ascii="Garamond" w:eastAsia="Times New Roman" w:hAnsi="Garamond" w:cs="Times New Roman"/>
        </w:rPr>
        <w:t>e</w:t>
      </w:r>
      <w:r w:rsidR="00A56782" w:rsidRPr="005E2E85">
        <w:rPr>
          <w:rFonts w:ascii="Garamond" w:eastAsia="Times New Roman" w:hAnsi="Garamond" w:cs="Times New Roman"/>
        </w:rPr>
        <w:t xml:space="preserve"> at holding themselves accountable</w:t>
      </w:r>
      <w:r w:rsidR="00477B8D">
        <w:rPr>
          <w:rFonts w:ascii="Garamond" w:eastAsia="Times New Roman" w:hAnsi="Garamond" w:cs="Times New Roman"/>
        </w:rPr>
        <w:t xml:space="preserve"> for the well-being of the children in its care</w:t>
      </w:r>
      <w:r w:rsidRPr="005E2E85">
        <w:rPr>
          <w:rFonts w:ascii="Garamond" w:eastAsia="Times New Roman" w:hAnsi="Garamond" w:cs="Times New Roman"/>
        </w:rPr>
        <w:t xml:space="preserve">. </w:t>
      </w:r>
      <w:r w:rsidR="006A45AC" w:rsidRPr="005E2E85">
        <w:rPr>
          <w:rFonts w:ascii="Garamond" w:eastAsia="Times New Roman" w:hAnsi="Garamond" w:cs="Times New Roman"/>
        </w:rPr>
        <w:t xml:space="preserve">The decision-makers of the department have failed to prevent children’s death under its custody, launch investigation on the deaths, and effectively control the quality of </w:t>
      </w:r>
      <w:r w:rsidR="006A45AC" w:rsidRPr="005E2E85">
        <w:rPr>
          <w:rFonts w:ascii="Garamond" w:hAnsi="Garamond"/>
        </w:rPr>
        <w:t>f</w:t>
      </w:r>
      <w:r w:rsidR="006A45AC" w:rsidRPr="005E2E85">
        <w:rPr>
          <w:rFonts w:ascii="Garamond" w:eastAsia="Times New Roman" w:hAnsi="Garamond" w:cs="Times New Roman"/>
        </w:rPr>
        <w:t xml:space="preserve">oster homes. </w:t>
      </w:r>
      <w:r w:rsidRPr="005E2E85">
        <w:rPr>
          <w:rFonts w:ascii="Garamond" w:eastAsia="Times New Roman" w:hAnsi="Garamond" w:cs="Times New Roman"/>
        </w:rPr>
        <w:t xml:space="preserve">Reports show that the death of 9-year-old </w:t>
      </w:r>
      <w:proofErr w:type="spellStart"/>
      <w:r w:rsidRPr="005E2E85">
        <w:rPr>
          <w:rFonts w:ascii="Garamond" w:eastAsia="Times New Roman" w:hAnsi="Garamond" w:cs="Times New Roman"/>
        </w:rPr>
        <w:t>Zha</w:t>
      </w:r>
      <w:proofErr w:type="spellEnd"/>
      <w:r w:rsidRPr="005E2E85">
        <w:rPr>
          <w:rFonts w:ascii="Garamond" w:eastAsia="Times New Roman" w:hAnsi="Garamond" w:cs="Times New Roman"/>
        </w:rPr>
        <w:t xml:space="preserve">-Nae Wilkerson </w:t>
      </w:r>
      <w:r w:rsidR="00A56782" w:rsidRPr="005E2E85">
        <w:rPr>
          <w:rFonts w:ascii="Garamond" w:eastAsia="Times New Roman" w:hAnsi="Garamond" w:cs="Times New Roman"/>
        </w:rPr>
        <w:t>in January 2019</w:t>
      </w:r>
      <w:r w:rsidRPr="005E2E85">
        <w:rPr>
          <w:rFonts w:ascii="Garamond" w:eastAsia="Times New Roman" w:hAnsi="Garamond" w:cs="Times New Roman"/>
        </w:rPr>
        <w:t xml:space="preserve"> was substantially due to the “</w:t>
      </w:r>
      <w:hyperlink r:id="rId7">
        <w:r w:rsidRPr="005E2E85">
          <w:rPr>
            <w:rFonts w:ascii="Garamond" w:eastAsia="Times New Roman" w:hAnsi="Garamond" w:cs="Times New Roman"/>
          </w:rPr>
          <w:t>inactions</w:t>
        </w:r>
      </w:hyperlink>
      <w:r w:rsidRPr="005E2E85">
        <w:rPr>
          <w:rFonts w:ascii="Garamond" w:eastAsia="Times New Roman" w:hAnsi="Garamond" w:cs="Times New Roman"/>
        </w:rPr>
        <w:t>” of RI’s child welfare system.</w:t>
      </w:r>
      <w:r w:rsidR="00741C50" w:rsidRPr="005E2E85">
        <w:rPr>
          <w:rStyle w:val="FootnoteReference"/>
          <w:rFonts w:ascii="Garamond" w:eastAsia="Times New Roman" w:hAnsi="Garamond" w:cs="Times New Roman"/>
        </w:rPr>
        <w:footnoteReference w:id="1"/>
      </w:r>
      <w:r w:rsidRPr="005E2E85">
        <w:rPr>
          <w:rFonts w:ascii="Garamond" w:eastAsia="Times New Roman" w:hAnsi="Garamond" w:cs="Times New Roman"/>
        </w:rPr>
        <w:t xml:space="preserve"> The findings has a chilling implication</w:t>
      </w:r>
      <w:r w:rsidR="00A56782" w:rsidRPr="005E2E85">
        <w:rPr>
          <w:rFonts w:ascii="Garamond" w:eastAsia="Times New Roman" w:hAnsi="Garamond" w:cs="Times New Roman"/>
        </w:rPr>
        <w:t xml:space="preserve"> – that </w:t>
      </w:r>
      <w:r w:rsidRPr="005E2E85">
        <w:rPr>
          <w:rFonts w:ascii="Garamond" w:eastAsia="Times New Roman" w:hAnsi="Garamond" w:cs="Times New Roman"/>
        </w:rPr>
        <w:t>Wilkerson’s death is not an isolated crisis, but only a product of more endemic problems deeply rooted in the department for several decades now.</w:t>
      </w:r>
      <w:r w:rsidR="006A45AC" w:rsidRPr="005E2E85">
        <w:rPr>
          <w:rFonts w:ascii="Garamond" w:eastAsia="Times New Roman" w:hAnsi="Garamond" w:cs="Times New Roman"/>
        </w:rPr>
        <w:t xml:space="preserve"> </w:t>
      </w:r>
    </w:p>
    <w:p w14:paraId="00000005" w14:textId="52F5FC7D" w:rsidR="00AD541C" w:rsidRPr="005E2E85" w:rsidRDefault="00CF0742" w:rsidP="00B0770C">
      <w:pPr>
        <w:spacing w:before="240" w:after="240"/>
        <w:ind w:firstLine="720"/>
        <w:rPr>
          <w:rFonts w:ascii="Garamond" w:eastAsia="Times New Roman" w:hAnsi="Garamond" w:cs="Times New Roman"/>
        </w:rPr>
      </w:pPr>
      <w:r w:rsidRPr="005E2E85">
        <w:rPr>
          <w:rFonts w:ascii="Garamond" w:eastAsia="Times New Roman" w:hAnsi="Garamond" w:cs="Times New Roman"/>
        </w:rPr>
        <w:t xml:space="preserve">As a migrant outreach project manager at the state’s only sex worker-led organization, COYOTE RI, I want to provide my </w:t>
      </w:r>
      <w:r w:rsidR="00A56782" w:rsidRPr="005E2E85">
        <w:rPr>
          <w:rFonts w:ascii="Garamond" w:eastAsia="Times New Roman" w:hAnsi="Garamond" w:cs="Times New Roman"/>
        </w:rPr>
        <w:t xml:space="preserve">own </w:t>
      </w:r>
      <w:r w:rsidRPr="005E2E85">
        <w:rPr>
          <w:rFonts w:ascii="Garamond" w:eastAsia="Times New Roman" w:hAnsi="Garamond" w:cs="Times New Roman"/>
        </w:rPr>
        <w:t xml:space="preserve">perspective on the state’s child welfare system vis-a-vis the impact of anti-trafficking policies on the sex workers’ population. </w:t>
      </w:r>
      <w:r w:rsidR="00A56782" w:rsidRPr="005E2E85">
        <w:rPr>
          <w:rFonts w:ascii="Garamond" w:eastAsia="Times New Roman" w:hAnsi="Garamond" w:cs="Times New Roman"/>
        </w:rPr>
        <w:t>A</w:t>
      </w:r>
      <w:r w:rsidRPr="005E2E85">
        <w:rPr>
          <w:rFonts w:ascii="Garamond" w:eastAsia="Times New Roman" w:hAnsi="Garamond" w:cs="Times New Roman"/>
        </w:rPr>
        <w:t xml:space="preserve"> considerable part of my job</w:t>
      </w:r>
      <w:r w:rsidR="00A56782" w:rsidRPr="005E2E85">
        <w:rPr>
          <w:rFonts w:ascii="Garamond" w:eastAsia="Times New Roman" w:hAnsi="Garamond" w:cs="Times New Roman"/>
        </w:rPr>
        <w:t>, in addition to outreach,</w:t>
      </w:r>
      <w:r w:rsidRPr="005E2E85">
        <w:rPr>
          <w:rFonts w:ascii="Garamond" w:eastAsia="Times New Roman" w:hAnsi="Garamond" w:cs="Times New Roman"/>
        </w:rPr>
        <w:t xml:space="preserve"> is to evaluate how publicly-funded social services for people engaging in sex trade has evolved into a “rescue” industry that generates more than $686 million in this country alone, and how these </w:t>
      </w:r>
      <w:r w:rsidR="007D5528" w:rsidRPr="005E2E85">
        <w:rPr>
          <w:rFonts w:ascii="Garamond" w:eastAsia="Times New Roman" w:hAnsi="Garamond" w:cs="Times New Roman"/>
        </w:rPr>
        <w:t>(dis)</w:t>
      </w:r>
      <w:r w:rsidRPr="005E2E85">
        <w:rPr>
          <w:rFonts w:ascii="Garamond" w:eastAsia="Times New Roman" w:hAnsi="Garamond" w:cs="Times New Roman"/>
        </w:rPr>
        <w:t>services impact the people they intend to rescue.</w:t>
      </w:r>
      <w:r w:rsidR="00741C50" w:rsidRPr="005E2E85">
        <w:rPr>
          <w:rStyle w:val="FootnoteReference"/>
          <w:rFonts w:ascii="Garamond" w:eastAsia="Times New Roman" w:hAnsi="Garamond" w:cs="Times New Roman"/>
        </w:rPr>
        <w:footnoteReference w:id="2"/>
      </w:r>
      <w:r w:rsidR="003D769B" w:rsidRPr="005E2E85">
        <w:rPr>
          <w:rFonts w:ascii="Garamond" w:eastAsia="Times New Roman" w:hAnsi="Garamond" w:cs="Times New Roman"/>
        </w:rPr>
        <w:t xml:space="preserve"> The truth is,</w:t>
      </w:r>
      <w:r w:rsidRPr="005E2E85">
        <w:rPr>
          <w:rFonts w:ascii="Garamond" w:eastAsia="Times New Roman" w:hAnsi="Garamond" w:cs="Times New Roman"/>
        </w:rPr>
        <w:t xml:space="preserve"> I see striking parallels in ways </w:t>
      </w:r>
      <w:r w:rsidR="00477B8D">
        <w:rPr>
          <w:rFonts w:ascii="Garamond" w:eastAsia="Times New Roman" w:hAnsi="Garamond" w:cs="Times New Roman"/>
        </w:rPr>
        <w:t xml:space="preserve">the </w:t>
      </w:r>
      <w:r w:rsidRPr="005E2E85">
        <w:rPr>
          <w:rFonts w:ascii="Garamond" w:eastAsia="Times New Roman" w:hAnsi="Garamond" w:cs="Times New Roman"/>
        </w:rPr>
        <w:t>government create</w:t>
      </w:r>
      <w:r w:rsidR="00477B8D">
        <w:rPr>
          <w:rFonts w:ascii="Garamond" w:eastAsia="Times New Roman" w:hAnsi="Garamond" w:cs="Times New Roman"/>
        </w:rPr>
        <w:t>s</w:t>
      </w:r>
      <w:r w:rsidRPr="005E2E85">
        <w:rPr>
          <w:rFonts w:ascii="Garamond" w:eastAsia="Times New Roman" w:hAnsi="Garamond" w:cs="Times New Roman"/>
        </w:rPr>
        <w:t xml:space="preserve"> narratives and funnel</w:t>
      </w:r>
      <w:r w:rsidR="00477B8D">
        <w:rPr>
          <w:rFonts w:ascii="Garamond" w:eastAsia="Times New Roman" w:hAnsi="Garamond" w:cs="Times New Roman"/>
        </w:rPr>
        <w:t>s</w:t>
      </w:r>
      <w:r w:rsidRPr="005E2E85">
        <w:rPr>
          <w:rFonts w:ascii="Garamond" w:eastAsia="Times New Roman" w:hAnsi="Garamond" w:cs="Times New Roman"/>
        </w:rPr>
        <w:t xml:space="preserve"> resources to handle young people at risk, sex workers, and human trafficking victims alike. I also see an evident overlap in the population, as a number of young people in the state’s care (especially girls and LGBTQ youth) enter sex industry with varying </w:t>
      </w:r>
      <w:r w:rsidR="00A56782" w:rsidRPr="005E2E85">
        <w:rPr>
          <w:rFonts w:ascii="Garamond" w:eastAsia="Times New Roman" w:hAnsi="Garamond" w:cs="Times New Roman"/>
        </w:rPr>
        <w:t>degrees</w:t>
      </w:r>
      <w:r w:rsidRPr="005E2E85">
        <w:rPr>
          <w:rFonts w:ascii="Garamond" w:eastAsia="Times New Roman" w:hAnsi="Garamond" w:cs="Times New Roman"/>
        </w:rPr>
        <w:t xml:space="preserve"> of self-determination. This unmistakable, empirical link between the government policies regarding children welfare and sex industry deserves deep scrutiny and open discussion.</w:t>
      </w:r>
    </w:p>
    <w:p w14:paraId="2EEF522D" w14:textId="1180FC49" w:rsidR="00AA0577" w:rsidRPr="005E2E85" w:rsidRDefault="00AA0577" w:rsidP="00AA0577">
      <w:pPr>
        <w:spacing w:before="240" w:after="240"/>
        <w:ind w:firstLine="720"/>
        <w:rPr>
          <w:rFonts w:ascii="Garamond" w:eastAsia="Times New Roman" w:hAnsi="Garamond" w:cs="Times New Roman"/>
        </w:rPr>
      </w:pPr>
      <w:r w:rsidRPr="005E2E85">
        <w:rPr>
          <w:rFonts w:ascii="Garamond" w:eastAsia="Times New Roman" w:hAnsi="Garamond" w:cs="Times New Roman"/>
        </w:rPr>
        <w:t xml:space="preserve">Take </w:t>
      </w:r>
      <w:hyperlink r:id="rId8">
        <w:r w:rsidRPr="005E2E85">
          <w:rPr>
            <w:rFonts w:ascii="Garamond" w:eastAsia="Times New Roman" w:hAnsi="Garamond" w:cs="Times New Roman"/>
          </w:rPr>
          <w:t xml:space="preserve">one </w:t>
        </w:r>
      </w:hyperlink>
      <w:r w:rsidRPr="005E2E85">
        <w:rPr>
          <w:rFonts w:ascii="Garamond" w:eastAsia="Times New Roman" w:hAnsi="Garamond" w:cs="Times New Roman"/>
        </w:rPr>
        <w:t>incident in Rhode Island in 2018.</w:t>
      </w:r>
      <w:r w:rsidR="005E2E85" w:rsidRPr="005E2E85">
        <w:rPr>
          <w:rStyle w:val="FootnoteReference"/>
          <w:rFonts w:ascii="Garamond" w:eastAsia="Times New Roman" w:hAnsi="Garamond" w:cs="Times New Roman"/>
        </w:rPr>
        <w:footnoteReference w:id="3"/>
      </w:r>
      <w:r w:rsidRPr="005E2E85">
        <w:rPr>
          <w:rFonts w:ascii="Garamond" w:eastAsia="Times New Roman" w:hAnsi="Garamond" w:cs="Times New Roman"/>
        </w:rPr>
        <w:t xml:space="preserve"> When two Newport girls from the same group home who were 15 and 18 at the time went missing, the police </w:t>
      </w:r>
      <w:r w:rsidR="00477B8D">
        <w:rPr>
          <w:rFonts w:ascii="Garamond" w:eastAsia="Times New Roman" w:hAnsi="Garamond" w:cs="Times New Roman"/>
        </w:rPr>
        <w:t>tracked their whereabouts through their online footprints and</w:t>
      </w:r>
      <w:r w:rsidRPr="005E2E85">
        <w:rPr>
          <w:rFonts w:ascii="Garamond" w:eastAsia="Times New Roman" w:hAnsi="Garamond" w:cs="Times New Roman"/>
        </w:rPr>
        <w:t xml:space="preserve"> </w:t>
      </w:r>
      <w:r w:rsidR="00477B8D">
        <w:rPr>
          <w:rFonts w:ascii="Garamond" w:eastAsia="Times New Roman" w:hAnsi="Garamond" w:cs="Times New Roman"/>
        </w:rPr>
        <w:t>found</w:t>
      </w:r>
      <w:r w:rsidRPr="005E2E85">
        <w:rPr>
          <w:rFonts w:ascii="Garamond" w:eastAsia="Times New Roman" w:hAnsi="Garamond" w:cs="Times New Roman"/>
        </w:rPr>
        <w:t xml:space="preserve"> them at a Warwick motel with a 50-year-old man. While the man was “checked by the police and released,” the 18-year-old girl</w:t>
      </w:r>
      <w:r w:rsidR="0098724A" w:rsidRPr="005E2E85">
        <w:rPr>
          <w:rFonts w:ascii="Garamond" w:eastAsia="Times New Roman" w:hAnsi="Garamond" w:cs="Times New Roman"/>
        </w:rPr>
        <w:t>, Isabel Reyes,</w:t>
      </w:r>
      <w:r w:rsidRPr="005E2E85">
        <w:rPr>
          <w:rFonts w:ascii="Garamond" w:eastAsia="Times New Roman" w:hAnsi="Garamond" w:cs="Times New Roman"/>
        </w:rPr>
        <w:t xml:space="preserve"> was charged with trafficking a minor, a felony of a maximum sentence of 50 years in prison</w:t>
      </w:r>
      <w:r w:rsidR="00477B8D">
        <w:rPr>
          <w:rFonts w:ascii="Garamond" w:eastAsia="Times New Roman" w:hAnsi="Garamond" w:cs="Times New Roman"/>
        </w:rPr>
        <w:t xml:space="preserve">. She </w:t>
      </w:r>
      <w:r w:rsidRPr="005E2E85">
        <w:rPr>
          <w:rFonts w:ascii="Garamond" w:eastAsia="Times New Roman" w:hAnsi="Garamond" w:cs="Times New Roman"/>
        </w:rPr>
        <w:t xml:space="preserve">was </w:t>
      </w:r>
      <w:r w:rsidR="00477B8D">
        <w:rPr>
          <w:rFonts w:ascii="Garamond" w:eastAsia="Times New Roman" w:hAnsi="Garamond" w:cs="Times New Roman"/>
        </w:rPr>
        <w:t xml:space="preserve">also </w:t>
      </w:r>
      <w:r w:rsidRPr="005E2E85">
        <w:rPr>
          <w:rFonts w:ascii="Garamond" w:eastAsia="Times New Roman" w:hAnsi="Garamond" w:cs="Times New Roman"/>
        </w:rPr>
        <w:t xml:space="preserve">subject to mandatory substance-abuse counseling and a mental health evaluation. While all news articles categorically characterized the incident as the epitome of a horrendous human trafficking crime, </w:t>
      </w:r>
      <w:r w:rsidR="00477B8D">
        <w:rPr>
          <w:rFonts w:ascii="Garamond" w:eastAsia="Times New Roman" w:hAnsi="Garamond" w:cs="Times New Roman"/>
        </w:rPr>
        <w:t>implicating</w:t>
      </w:r>
      <w:r w:rsidRPr="005E2E85">
        <w:rPr>
          <w:rFonts w:ascii="Garamond" w:eastAsia="Times New Roman" w:hAnsi="Garamond" w:cs="Times New Roman"/>
        </w:rPr>
        <w:t xml:space="preserve"> coercion, I was not able to find a single media coverage that verified the suspicions nor told the stories in the girls’ perspectives.</w:t>
      </w:r>
    </w:p>
    <w:p w14:paraId="689392FF" w14:textId="7D19B1DC" w:rsidR="00AA0577" w:rsidRPr="005E2E85" w:rsidRDefault="00AA0577" w:rsidP="00AA0577">
      <w:pPr>
        <w:spacing w:before="240" w:after="240"/>
        <w:ind w:firstLine="720"/>
        <w:rPr>
          <w:rFonts w:ascii="Garamond" w:eastAsia="Times New Roman" w:hAnsi="Garamond" w:cs="Times New Roman"/>
        </w:rPr>
      </w:pPr>
      <w:r w:rsidRPr="005E2E85">
        <w:rPr>
          <w:rFonts w:ascii="Garamond" w:eastAsia="Times New Roman" w:hAnsi="Garamond" w:cs="Times New Roman"/>
        </w:rPr>
        <w:t xml:space="preserve">I want you to close your eyes and imagine in the two girls’ shoes. Are they </w:t>
      </w:r>
      <w:r w:rsidR="00477B8D">
        <w:rPr>
          <w:rFonts w:ascii="Garamond" w:eastAsia="Times New Roman" w:hAnsi="Garamond" w:cs="Times New Roman"/>
        </w:rPr>
        <w:t>an</w:t>
      </w:r>
      <w:r w:rsidRPr="005E2E85">
        <w:rPr>
          <w:rFonts w:ascii="Garamond" w:eastAsia="Times New Roman" w:hAnsi="Garamond" w:cs="Times New Roman"/>
        </w:rPr>
        <w:t xml:space="preserve"> evil, demoralized sex trafficker and </w:t>
      </w:r>
      <w:r w:rsidR="00477B8D">
        <w:rPr>
          <w:rFonts w:ascii="Garamond" w:eastAsia="Times New Roman" w:hAnsi="Garamond" w:cs="Times New Roman"/>
        </w:rPr>
        <w:t>a</w:t>
      </w:r>
      <w:r w:rsidRPr="005E2E85">
        <w:rPr>
          <w:rFonts w:ascii="Garamond" w:eastAsia="Times New Roman" w:hAnsi="Garamond" w:cs="Times New Roman"/>
        </w:rPr>
        <w:t xml:space="preserve"> helplessly manipulated slave? Are they, as recipients of the state’s child welfare, problematic delinquent dropouts, or honest, hardworking teenagers making decisions to overcome the hurdles created by the neoliberal, individualistic “ethics of responsibility” of the country’s welfare paradigm? Can you respect their decisions with an understanding of their agency as a capacity that constantly evolves? Or in your head, a sense of agency just emerges in everyone at the age 18 for no developmental grounds? Do you imagine a world where you got nobody else but yourself, where you can’t even trust the government welfare, of which you are supposed to be the recipient? And above all, why are they being punished, really?</w:t>
      </w:r>
    </w:p>
    <w:p w14:paraId="104E6DFE" w14:textId="0C5208E4" w:rsidR="00AA0577" w:rsidRPr="005E2E85" w:rsidRDefault="00AA0577" w:rsidP="00AA0577">
      <w:pPr>
        <w:spacing w:before="240" w:after="240"/>
        <w:ind w:firstLine="720"/>
        <w:rPr>
          <w:rFonts w:ascii="Garamond" w:eastAsia="Times New Roman" w:hAnsi="Garamond" w:cs="Times New Roman"/>
        </w:rPr>
      </w:pPr>
      <w:r w:rsidRPr="005E2E85">
        <w:rPr>
          <w:rFonts w:ascii="Garamond" w:eastAsia="Times New Roman" w:hAnsi="Garamond" w:cs="Times New Roman"/>
        </w:rPr>
        <w:lastRenderedPageBreak/>
        <w:t xml:space="preserve">It is a disservice to the entirety of young people in the state’s care, to call this incident a horrendous human trafficking crime committed by an unredeemable group home </w:t>
      </w:r>
      <w:proofErr w:type="spellStart"/>
      <w:r w:rsidRPr="005E2E85">
        <w:rPr>
          <w:rFonts w:ascii="Garamond" w:eastAsia="Times New Roman" w:hAnsi="Garamond" w:cs="Times New Roman"/>
        </w:rPr>
        <w:t>runaway</w:t>
      </w:r>
      <w:proofErr w:type="spellEnd"/>
      <w:r w:rsidRPr="005E2E85">
        <w:rPr>
          <w:rFonts w:ascii="Garamond" w:eastAsia="Times New Roman" w:hAnsi="Garamond" w:cs="Times New Roman"/>
        </w:rPr>
        <w:t xml:space="preserve">. I am in no way justifying </w:t>
      </w:r>
      <w:r w:rsidR="0098724A" w:rsidRPr="005E2E85">
        <w:rPr>
          <w:rFonts w:ascii="Garamond" w:eastAsia="Times New Roman" w:hAnsi="Garamond" w:cs="Times New Roman"/>
        </w:rPr>
        <w:t>Isabel Reyes’</w:t>
      </w:r>
      <w:r w:rsidRPr="005E2E85">
        <w:rPr>
          <w:rFonts w:ascii="Garamond" w:eastAsia="Times New Roman" w:hAnsi="Garamond" w:cs="Times New Roman"/>
        </w:rPr>
        <w:t xml:space="preserve"> action of involving a minor in sex trade. However</w:t>
      </w:r>
      <w:r w:rsidR="0098724A" w:rsidRPr="005E2E85">
        <w:rPr>
          <w:rFonts w:ascii="Garamond" w:eastAsia="Times New Roman" w:hAnsi="Garamond" w:cs="Times New Roman"/>
        </w:rPr>
        <w:t>, Isabel</w:t>
      </w:r>
      <w:r w:rsidRPr="005E2E85">
        <w:rPr>
          <w:rFonts w:ascii="Garamond" w:eastAsia="Times New Roman" w:hAnsi="Garamond" w:cs="Times New Roman"/>
        </w:rPr>
        <w:t xml:space="preserve"> was and is in the state’s childcare system, and should have been viewed as a welfare recipient, as she is believed to live in the group home since she was a minor. Reprimanding </w:t>
      </w:r>
      <w:r w:rsidR="0098724A" w:rsidRPr="005E2E85">
        <w:rPr>
          <w:rFonts w:ascii="Garamond" w:eastAsia="Times New Roman" w:hAnsi="Garamond" w:cs="Times New Roman"/>
        </w:rPr>
        <w:t>her</w:t>
      </w:r>
      <w:r w:rsidRPr="005E2E85">
        <w:rPr>
          <w:rFonts w:ascii="Garamond" w:eastAsia="Times New Roman" w:hAnsi="Garamond" w:cs="Times New Roman"/>
        </w:rPr>
        <w:t>, the government is assuming a role as a gatekeeper mandating who deserves services. In such media coverage, why do we never see any effort to understand the government’s responsibility as part of the larger picture. We never question the living condition of the group home that may have compelled these two teenage girls to run away in the first place. Nor do we critically evaluate the neoliberal job market that makes the girls struggle navigating their future after the group home. Furthermore, the government glosses over the fact that young people in child welfare are consistently stigmatized and denied of trust and care.</w:t>
      </w:r>
    </w:p>
    <w:p w14:paraId="00000009" w14:textId="0B7BCF63" w:rsidR="00AD541C" w:rsidRPr="005E2E85" w:rsidRDefault="00CF0742" w:rsidP="009D65CC">
      <w:pPr>
        <w:spacing w:before="240" w:after="240"/>
        <w:ind w:firstLine="720"/>
        <w:rPr>
          <w:rFonts w:ascii="Garamond" w:eastAsia="Times New Roman" w:hAnsi="Garamond" w:cs="Times New Roman"/>
        </w:rPr>
      </w:pPr>
      <w:r w:rsidRPr="005E2E85">
        <w:rPr>
          <w:rFonts w:ascii="Garamond" w:eastAsia="Times New Roman" w:hAnsi="Garamond" w:cs="Times New Roman"/>
        </w:rPr>
        <w:t>We are</w:t>
      </w:r>
      <w:r w:rsidR="0098724A" w:rsidRPr="005E2E85">
        <w:rPr>
          <w:rFonts w:ascii="Garamond" w:eastAsia="Times New Roman" w:hAnsi="Garamond" w:cs="Times New Roman"/>
        </w:rPr>
        <w:t xml:space="preserve"> already</w:t>
      </w:r>
      <w:r w:rsidRPr="005E2E85">
        <w:rPr>
          <w:rFonts w:ascii="Garamond" w:eastAsia="Times New Roman" w:hAnsi="Garamond" w:cs="Times New Roman"/>
        </w:rPr>
        <w:t xml:space="preserve"> too familiar with such pattern of weaponizing the mission of “social welfare” against the most vulnerable population. When the government becomes the gatekeeper </w:t>
      </w:r>
      <w:r w:rsidR="003D769B" w:rsidRPr="005E2E85">
        <w:rPr>
          <w:rFonts w:ascii="Garamond" w:eastAsia="Times New Roman" w:hAnsi="Garamond" w:cs="Times New Roman"/>
        </w:rPr>
        <w:t xml:space="preserve">which mandates </w:t>
      </w:r>
      <w:r w:rsidRPr="005E2E85">
        <w:rPr>
          <w:rFonts w:ascii="Garamond" w:eastAsia="Times New Roman" w:hAnsi="Garamond" w:cs="Times New Roman"/>
        </w:rPr>
        <w:t xml:space="preserve">who deserves services and who gets to provide services, the people who are deemed unimportant in the making of this nation and thus do not fit in a set of predetermined goals and purposes of the “social welfare” mission, will be left unserved and even maliciously targeted. We see this exact same pattern in the U.S. immigration policies </w:t>
      </w:r>
      <w:r w:rsidR="00741C50" w:rsidRPr="005E2E85">
        <w:rPr>
          <w:rFonts w:ascii="Garamond" w:eastAsia="Times New Roman" w:hAnsi="Garamond" w:cs="Times New Roman"/>
        </w:rPr>
        <w:t>that</w:t>
      </w:r>
      <w:r w:rsidRPr="005E2E85">
        <w:rPr>
          <w:rFonts w:ascii="Garamond" w:eastAsia="Times New Roman" w:hAnsi="Garamond" w:cs="Times New Roman"/>
        </w:rPr>
        <w:t xml:space="preserve"> expedite the mass deportation pipeline. </w:t>
      </w:r>
      <w:r w:rsidR="009D65CC" w:rsidRPr="005E2E85">
        <w:rPr>
          <w:rFonts w:ascii="Garamond" w:eastAsia="Times New Roman" w:hAnsi="Garamond" w:cs="Times New Roman"/>
        </w:rPr>
        <w:t>T</w:t>
      </w:r>
      <w:r w:rsidRPr="005E2E85">
        <w:rPr>
          <w:rFonts w:ascii="Garamond" w:eastAsia="Times New Roman" w:hAnsi="Garamond" w:cs="Times New Roman"/>
        </w:rPr>
        <w:t xml:space="preserve">he real </w:t>
      </w:r>
      <w:r w:rsidR="009D65CC" w:rsidRPr="005E2E85">
        <w:rPr>
          <w:rFonts w:ascii="Garamond" w:eastAsia="Times New Roman" w:hAnsi="Garamond" w:cs="Times New Roman"/>
        </w:rPr>
        <w:t>punishment</w:t>
      </w:r>
      <w:r w:rsidRPr="005E2E85">
        <w:rPr>
          <w:rFonts w:ascii="Garamond" w:eastAsia="Times New Roman" w:hAnsi="Garamond" w:cs="Times New Roman"/>
        </w:rPr>
        <w:t xml:space="preserve"> the U.S. border enforcement</w:t>
      </w:r>
      <w:r w:rsidR="009D65CC" w:rsidRPr="005E2E85">
        <w:rPr>
          <w:rFonts w:ascii="Garamond" w:eastAsia="Times New Roman" w:hAnsi="Garamond" w:cs="Times New Roman"/>
        </w:rPr>
        <w:t xml:space="preserve"> against families and communities </w:t>
      </w:r>
      <w:r w:rsidRPr="005E2E85">
        <w:rPr>
          <w:rFonts w:ascii="Garamond" w:eastAsia="Times New Roman" w:hAnsi="Garamond" w:cs="Times New Roman"/>
        </w:rPr>
        <w:t>are glossed over by the government as “unintended consequences.” Sex workers and human trafficking victims suffer from the same “unintended consequences,” and this shared experience always compels them to hold more radical and intersectional political agendas by nature.</w:t>
      </w:r>
    </w:p>
    <w:p w14:paraId="2059D16C" w14:textId="27CFCB34" w:rsidR="00386B95" w:rsidRPr="005E2E85" w:rsidRDefault="00CF0742" w:rsidP="00B0770C">
      <w:pPr>
        <w:spacing w:before="240" w:after="240"/>
        <w:ind w:firstLine="720"/>
        <w:rPr>
          <w:rFonts w:ascii="Garamond" w:eastAsia="Times New Roman" w:hAnsi="Garamond" w:cs="Times New Roman"/>
        </w:rPr>
      </w:pPr>
      <w:r w:rsidRPr="005E2E85">
        <w:rPr>
          <w:rFonts w:ascii="Garamond" w:eastAsia="Times New Roman" w:hAnsi="Garamond" w:cs="Times New Roman"/>
        </w:rPr>
        <w:t>I see this organizational tactic in the child welfare system, too. Just like immigration, anti-trafficking, and anti-prostitution policies, the current child welfare system does not reflect the real needs of the young people who are trying to heal from their childhood traumas and stand on their own feet in this brutal world. We see that a number of young people in the state’s care experience repeated barriers to access resources, have refused the system, and therefore pursue their lives outside the system employing “informal” yet relevant resources. In fact, the United Nations Convention on the Rights of the Child characterized children’s volition as “evolving capacities” in 1989, denying the traditional, monolithic understanding of minors’ agency and vulnerability.</w:t>
      </w:r>
      <w:r w:rsidR="00741C50" w:rsidRPr="005E2E85">
        <w:rPr>
          <w:rStyle w:val="FootnoteReference"/>
          <w:rFonts w:ascii="Garamond" w:eastAsia="Times New Roman" w:hAnsi="Garamond" w:cs="Times New Roman"/>
        </w:rPr>
        <w:footnoteReference w:id="4"/>
      </w:r>
      <w:r w:rsidRPr="005E2E85">
        <w:rPr>
          <w:rFonts w:ascii="Garamond" w:eastAsia="Times New Roman" w:hAnsi="Garamond" w:cs="Times New Roman"/>
        </w:rPr>
        <w:t xml:space="preserve"> However, the U.S. child welfare system effectively disregards such global effort to shift the discourse, as it</w:t>
      </w:r>
      <w:r w:rsidR="001E2B70" w:rsidRPr="005E2E85">
        <w:rPr>
          <w:rFonts w:ascii="Garamond" w:eastAsia="Times New Roman" w:hAnsi="Garamond" w:cs="Times New Roman"/>
        </w:rPr>
        <w:t xml:space="preserve"> uncritically</w:t>
      </w:r>
      <w:r w:rsidRPr="005E2E85">
        <w:rPr>
          <w:rFonts w:ascii="Garamond" w:eastAsia="Times New Roman" w:hAnsi="Garamond" w:cs="Times New Roman"/>
        </w:rPr>
        <w:t xml:space="preserve"> operates within the confines of the moral ideals of childhood based on Western, middle-class family model. </w:t>
      </w:r>
    </w:p>
    <w:p w14:paraId="428C15F0" w14:textId="307575AB" w:rsidR="008F3A47" w:rsidRPr="005E2E85" w:rsidRDefault="00386B95" w:rsidP="00386B95">
      <w:pPr>
        <w:spacing w:before="240" w:after="240"/>
        <w:rPr>
          <w:rFonts w:ascii="Garamond" w:eastAsia="Times New Roman" w:hAnsi="Garamond" w:cs="Times New Roman"/>
        </w:rPr>
      </w:pPr>
      <w:r w:rsidRPr="005E2E85">
        <w:rPr>
          <w:rFonts w:ascii="Garamond" w:eastAsia="Times New Roman" w:hAnsi="Garamond" w:cs="Times New Roman"/>
        </w:rPr>
        <w:tab/>
        <w:t xml:space="preserve">Coupled with such notions regarding child welfare, the unnuanced idea of victimhood </w:t>
      </w:r>
      <w:r w:rsidR="003E550F" w:rsidRPr="005E2E85">
        <w:rPr>
          <w:rFonts w:ascii="Garamond" w:eastAsia="Times New Roman" w:hAnsi="Garamond" w:cs="Times New Roman"/>
        </w:rPr>
        <w:t xml:space="preserve">in the anti-trafficking discourse </w:t>
      </w:r>
      <w:r w:rsidRPr="005E2E85">
        <w:rPr>
          <w:rFonts w:ascii="Garamond" w:eastAsia="Times New Roman" w:hAnsi="Garamond" w:cs="Times New Roman"/>
        </w:rPr>
        <w:t xml:space="preserve">further </w:t>
      </w:r>
      <w:r w:rsidR="008F3A47" w:rsidRPr="005E2E85">
        <w:rPr>
          <w:rFonts w:ascii="Garamond" w:eastAsia="Times New Roman" w:hAnsi="Garamond" w:cs="Times New Roman"/>
        </w:rPr>
        <w:t xml:space="preserve">explains why </w:t>
      </w:r>
      <w:r w:rsidR="0098724A" w:rsidRPr="005E2E85">
        <w:rPr>
          <w:rFonts w:ascii="Garamond" w:eastAsia="Times New Roman" w:hAnsi="Garamond" w:cs="Times New Roman"/>
        </w:rPr>
        <w:t>Isabel</w:t>
      </w:r>
      <w:r w:rsidR="008F3A47" w:rsidRPr="005E2E85">
        <w:rPr>
          <w:rFonts w:ascii="Garamond" w:eastAsia="Times New Roman" w:hAnsi="Garamond" w:cs="Times New Roman"/>
        </w:rPr>
        <w:t xml:space="preserve"> faced punishment.</w:t>
      </w:r>
      <w:r w:rsidRPr="005E2E85">
        <w:rPr>
          <w:rFonts w:ascii="Garamond" w:eastAsia="Times New Roman" w:hAnsi="Garamond" w:cs="Times New Roman"/>
        </w:rPr>
        <w:t xml:space="preserve"> The making of “evil demoralized sex trafficker” is racist. It traces back to the </w:t>
      </w:r>
      <w:r w:rsidRPr="005E2E85">
        <w:rPr>
          <w:rFonts w:ascii="Garamond" w:eastAsia="Times New Roman" w:hAnsi="Garamond" w:cs="Times New Roman"/>
          <w:i/>
          <w:iCs/>
        </w:rPr>
        <w:t>white slavery myth</w:t>
      </w:r>
      <w:r w:rsidRPr="005E2E85">
        <w:rPr>
          <w:rFonts w:ascii="Garamond" w:eastAsia="Times New Roman" w:hAnsi="Garamond" w:cs="Times New Roman"/>
        </w:rPr>
        <w:t xml:space="preserve"> narrative in the late 19</w:t>
      </w:r>
      <w:r w:rsidRPr="005E2E85">
        <w:rPr>
          <w:rFonts w:ascii="Garamond" w:eastAsia="Times New Roman" w:hAnsi="Garamond" w:cs="Times New Roman"/>
          <w:vertAlign w:val="superscript"/>
        </w:rPr>
        <w:t>th</w:t>
      </w:r>
      <w:r w:rsidRPr="005E2E85">
        <w:rPr>
          <w:rFonts w:ascii="Garamond" w:eastAsia="Times New Roman" w:hAnsi="Garamond" w:cs="Times New Roman"/>
        </w:rPr>
        <w:t xml:space="preserve"> century, by </w:t>
      </w:r>
      <w:r w:rsidRPr="005E2E85">
        <w:rPr>
          <w:rFonts w:ascii="Garamond" w:eastAsia="Times New Roman" w:hAnsi="Garamond" w:cs="Times New Roman"/>
          <w:color w:val="000000"/>
        </w:rPr>
        <w:t>which regulation of prostitution was justified through constant emphasis on “[a prostitute’s] youth/virginity; her whiteness; and her unwillingness to be a prostitute</w:t>
      </w:r>
      <w:r w:rsidR="008F3A47" w:rsidRPr="005E2E85">
        <w:rPr>
          <w:rFonts w:ascii="Garamond" w:eastAsia="Times New Roman" w:hAnsi="Garamond" w:cs="Times New Roman"/>
          <w:color w:val="000000"/>
        </w:rPr>
        <w:t>,</w:t>
      </w:r>
      <w:r w:rsidRPr="005E2E85">
        <w:rPr>
          <w:rFonts w:ascii="Garamond" w:eastAsia="Times New Roman" w:hAnsi="Garamond" w:cs="Times New Roman"/>
          <w:color w:val="000000"/>
        </w:rPr>
        <w:t>”</w:t>
      </w:r>
      <w:r w:rsidR="008F3A47" w:rsidRPr="005E2E85">
        <w:rPr>
          <w:rFonts w:ascii="Garamond" w:eastAsia="Times New Roman" w:hAnsi="Garamond" w:cs="Times New Roman"/>
          <w:color w:val="000000"/>
        </w:rPr>
        <w:t xml:space="preserve"> while the traffickers are portrayed as monstrous immigrants of color</w:t>
      </w:r>
      <w:r w:rsidRPr="005E2E85">
        <w:rPr>
          <w:rFonts w:ascii="Garamond" w:eastAsia="Times New Roman" w:hAnsi="Garamond" w:cs="Times New Roman"/>
          <w:color w:val="000000"/>
        </w:rPr>
        <w:t xml:space="preserve"> </w:t>
      </w:r>
      <w:r w:rsidR="003E550F" w:rsidRPr="005E2E85">
        <w:rPr>
          <w:rFonts w:ascii="Garamond" w:eastAsia="Times New Roman" w:hAnsi="Garamond" w:cs="Times New Roman"/>
          <w:color w:val="000000"/>
        </w:rPr>
        <w:t xml:space="preserve">who are equivalent to slave owners </w:t>
      </w:r>
      <w:r w:rsidRPr="005E2E85">
        <w:rPr>
          <w:rFonts w:ascii="Garamond" w:eastAsia="Times New Roman" w:hAnsi="Garamond" w:cs="Times New Roman"/>
          <w:color w:val="000000"/>
        </w:rPr>
        <w:t>(</w:t>
      </w:r>
      <w:proofErr w:type="spellStart"/>
      <w:r w:rsidRPr="005E2E85">
        <w:rPr>
          <w:rFonts w:ascii="Garamond" w:eastAsia="Times New Roman" w:hAnsi="Garamond" w:cs="Times New Roman"/>
          <w:color w:val="000000"/>
        </w:rPr>
        <w:t>Doezema</w:t>
      </w:r>
      <w:proofErr w:type="spellEnd"/>
      <w:r w:rsidRPr="005E2E85">
        <w:rPr>
          <w:rFonts w:ascii="Garamond" w:eastAsia="Times New Roman" w:hAnsi="Garamond" w:cs="Times New Roman"/>
          <w:color w:val="000000"/>
        </w:rPr>
        <w:t>, 2000).</w:t>
      </w:r>
      <w:r w:rsidR="00741C50" w:rsidRPr="005E2E85">
        <w:rPr>
          <w:rStyle w:val="FootnoteReference"/>
          <w:rFonts w:ascii="Garamond" w:eastAsia="Times New Roman" w:hAnsi="Garamond" w:cs="Times New Roman"/>
          <w:color w:val="000000"/>
        </w:rPr>
        <w:footnoteReference w:id="5"/>
      </w:r>
      <w:r w:rsidRPr="005E2E85">
        <w:rPr>
          <w:rFonts w:ascii="Garamond" w:eastAsia="Times New Roman" w:hAnsi="Garamond" w:cs="Times New Roman"/>
          <w:color w:val="000000"/>
        </w:rPr>
        <w:t xml:space="preserve"> Bolstered by the remnants of this old belief, </w:t>
      </w:r>
      <w:r w:rsidR="008F3A47" w:rsidRPr="005E2E85">
        <w:rPr>
          <w:rFonts w:ascii="Garamond" w:eastAsia="Times New Roman" w:hAnsi="Garamond" w:cs="Times New Roman"/>
          <w:color w:val="000000"/>
        </w:rPr>
        <w:t>the contemporary anti-trafficking narrative</w:t>
      </w:r>
      <w:r w:rsidRPr="005E2E85">
        <w:rPr>
          <w:rFonts w:ascii="Garamond" w:eastAsia="Times New Roman" w:hAnsi="Garamond" w:cs="Times New Roman"/>
          <w:color w:val="000000"/>
        </w:rPr>
        <w:t xml:space="preserve"> fails to</w:t>
      </w:r>
      <w:r w:rsidR="008F3A47" w:rsidRPr="005E2E85">
        <w:rPr>
          <w:rFonts w:ascii="Garamond" w:eastAsia="Times New Roman" w:hAnsi="Garamond" w:cs="Times New Roman"/>
          <w:color w:val="000000"/>
        </w:rPr>
        <w:t xml:space="preserve"> acknowledge the heterogeneity of </w:t>
      </w:r>
      <w:r w:rsidR="003E550F" w:rsidRPr="005E2E85">
        <w:rPr>
          <w:rFonts w:ascii="Garamond" w:eastAsia="Times New Roman" w:hAnsi="Garamond" w:cs="Times New Roman"/>
          <w:color w:val="000000"/>
        </w:rPr>
        <w:t xml:space="preserve">the population involved in sex trade and that there is no one-size-fits-all solution to gender and labor inequality at large, making it harder </w:t>
      </w:r>
      <w:r w:rsidR="003E550F" w:rsidRPr="005E2E85">
        <w:rPr>
          <w:rFonts w:ascii="Garamond" w:eastAsia="Times New Roman" w:hAnsi="Garamond" w:cs="Times New Roman"/>
          <w:color w:val="000000"/>
        </w:rPr>
        <w:lastRenderedPageBreak/>
        <w:t>to imagine anything other than law enforcement “rescue” stings and tough incarceration as feasible approaches.</w:t>
      </w:r>
      <w:r w:rsidR="00741C50" w:rsidRPr="005E2E85">
        <w:rPr>
          <w:rStyle w:val="FootnoteReference"/>
          <w:rFonts w:ascii="Garamond" w:eastAsia="Times New Roman" w:hAnsi="Garamond" w:cs="Times New Roman"/>
          <w:color w:val="000000"/>
        </w:rPr>
        <w:footnoteReference w:id="6"/>
      </w:r>
      <w:r w:rsidR="00EC1130" w:rsidRPr="005E2E85">
        <w:rPr>
          <w:rFonts w:ascii="Garamond" w:eastAsia="Times New Roman" w:hAnsi="Garamond" w:cs="Times New Roman"/>
          <w:color w:val="000000"/>
        </w:rPr>
        <w:t xml:space="preserve"> </w:t>
      </w:r>
    </w:p>
    <w:p w14:paraId="00000051" w14:textId="5422F0BA" w:rsidR="00AD541C" w:rsidRPr="005E2E85" w:rsidRDefault="003E550F" w:rsidP="00B0770C">
      <w:pPr>
        <w:spacing w:before="240" w:after="240"/>
        <w:rPr>
          <w:rFonts w:ascii="Garamond" w:eastAsia="Times New Roman" w:hAnsi="Garamond" w:cs="Times New Roman"/>
        </w:rPr>
      </w:pPr>
      <w:r w:rsidRPr="005E2E85">
        <w:rPr>
          <w:rFonts w:ascii="Garamond" w:eastAsia="Times New Roman" w:hAnsi="Garamond" w:cs="Times New Roman"/>
          <w:color w:val="000000"/>
        </w:rPr>
        <w:tab/>
        <w:t>Young people who were and/or are in the state’s custody make up an extremely heterogeneous population, as their reasons for being funneled into the foster care system are diverse.</w:t>
      </w:r>
      <w:r w:rsidRPr="005E2E85">
        <w:rPr>
          <w:rFonts w:ascii="Garamond" w:eastAsia="Times New Roman" w:hAnsi="Garamond" w:cs="Times New Roman"/>
        </w:rPr>
        <w:t xml:space="preserve"> </w:t>
      </w:r>
      <w:r w:rsidR="005E2E85" w:rsidRPr="005E2E85">
        <w:rPr>
          <w:rFonts w:ascii="Garamond" w:eastAsia="Times New Roman" w:hAnsi="Garamond" w:cs="Times New Roman"/>
        </w:rPr>
        <w:t xml:space="preserve">Indeed, it is </w:t>
      </w:r>
      <w:proofErr w:type="gramStart"/>
      <w:r w:rsidR="005E2E85" w:rsidRPr="005E2E85">
        <w:rPr>
          <w:rFonts w:ascii="Garamond" w:eastAsia="Times New Roman" w:hAnsi="Garamond" w:cs="Times New Roman"/>
        </w:rPr>
        <w:t>ever-difficult</w:t>
      </w:r>
      <w:proofErr w:type="gramEnd"/>
      <w:r w:rsidR="005E2E85" w:rsidRPr="005E2E85">
        <w:rPr>
          <w:rFonts w:ascii="Garamond" w:eastAsia="Times New Roman" w:hAnsi="Garamond" w:cs="Times New Roman"/>
        </w:rPr>
        <w:t xml:space="preserve"> to demystify the penal aspect of welfare and reimagine the world where youth at risk, sex workers, and human trafficking victims alike can consider services that are relevant to their extremely diverse, nuanced, and complex lives. </w:t>
      </w:r>
      <w:r w:rsidR="00EC1130" w:rsidRPr="005E2E85">
        <w:rPr>
          <w:rFonts w:ascii="Garamond" w:eastAsia="Times New Roman" w:hAnsi="Garamond" w:cs="Times New Roman"/>
        </w:rPr>
        <w:t>If th</w:t>
      </w:r>
      <w:bookmarkStart w:id="0" w:name="_GoBack"/>
      <w:bookmarkEnd w:id="0"/>
      <w:r w:rsidR="00EC1130" w:rsidRPr="005E2E85">
        <w:rPr>
          <w:rFonts w:ascii="Garamond" w:eastAsia="Times New Roman" w:hAnsi="Garamond" w:cs="Times New Roman"/>
        </w:rPr>
        <w:t>e Department of Children, Youth, and Family of Rhode Island wants change, improving budget spending and alleviating caseloads of social workers are just few tasks; it should also consider reevaluating their moral mission through open, honest conversation on how different social and economic issues coexist at interplay.</w:t>
      </w:r>
      <w:r w:rsidR="0098724A" w:rsidRPr="005E2E85">
        <w:rPr>
          <w:rFonts w:ascii="Garamond" w:eastAsia="Times New Roman" w:hAnsi="Garamond" w:cs="Times New Roman"/>
        </w:rPr>
        <w:t xml:space="preserve"> I urge that</w:t>
      </w:r>
      <w:r w:rsidR="00741C50" w:rsidRPr="005E2E85">
        <w:rPr>
          <w:rFonts w:ascii="Garamond" w:eastAsia="Times New Roman" w:hAnsi="Garamond" w:cs="Times New Roman"/>
        </w:rPr>
        <w:t xml:space="preserve"> the decision-makers in the DCYF to engage actively with the state policy concerning human trafficking and critically address children’s capacity of self-determination when they investigate why young people in its care keep refusing to be housed in foster care and seeking their own means of survival</w:t>
      </w:r>
      <w:r w:rsidR="005E2E85">
        <w:rPr>
          <w:rFonts w:ascii="Garamond" w:eastAsia="Times New Roman" w:hAnsi="Garamond" w:cs="Times New Roman"/>
        </w:rPr>
        <w:t>.</w:t>
      </w:r>
    </w:p>
    <w:sectPr w:rsidR="00AD541C" w:rsidRPr="005E2E8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EE6B9" w14:textId="77777777" w:rsidR="00F576AF" w:rsidRDefault="00F576AF" w:rsidP="00741C50">
      <w:pPr>
        <w:spacing w:line="240" w:lineRule="auto"/>
      </w:pPr>
      <w:r>
        <w:separator/>
      </w:r>
    </w:p>
  </w:endnote>
  <w:endnote w:type="continuationSeparator" w:id="0">
    <w:p w14:paraId="360026E0" w14:textId="77777777" w:rsidR="00F576AF" w:rsidRDefault="00F576AF" w:rsidP="00741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B0ECA" w14:textId="77777777" w:rsidR="00F576AF" w:rsidRDefault="00F576AF" w:rsidP="00741C50">
      <w:pPr>
        <w:spacing w:line="240" w:lineRule="auto"/>
      </w:pPr>
      <w:r>
        <w:separator/>
      </w:r>
    </w:p>
  </w:footnote>
  <w:footnote w:type="continuationSeparator" w:id="0">
    <w:p w14:paraId="5E94D695" w14:textId="77777777" w:rsidR="00F576AF" w:rsidRDefault="00F576AF" w:rsidP="00741C50">
      <w:pPr>
        <w:spacing w:line="240" w:lineRule="auto"/>
      </w:pPr>
      <w:r>
        <w:continuationSeparator/>
      </w:r>
    </w:p>
  </w:footnote>
  <w:footnote w:id="1">
    <w:p w14:paraId="728E5BB2" w14:textId="7EBC268D" w:rsidR="00741C50" w:rsidRPr="005E2E85" w:rsidRDefault="00741C50">
      <w:pPr>
        <w:pStyle w:val="FootnoteText"/>
        <w:rPr>
          <w:rFonts w:ascii="Garamond" w:eastAsia="Malgun Gothic" w:hAnsi="Garamond"/>
          <w:sz w:val="18"/>
          <w:szCs w:val="18"/>
          <w:lang w:eastAsia="ko-KR"/>
        </w:rPr>
      </w:pPr>
      <w:r w:rsidRPr="005E2E85">
        <w:rPr>
          <w:rStyle w:val="FootnoteReference"/>
          <w:rFonts w:ascii="Garamond" w:hAnsi="Garamond"/>
          <w:sz w:val="18"/>
          <w:szCs w:val="18"/>
        </w:rPr>
        <w:footnoteRef/>
      </w:r>
      <w:r w:rsidRPr="005E2E85">
        <w:rPr>
          <w:rFonts w:ascii="Garamond" w:hAnsi="Garamond"/>
          <w:sz w:val="18"/>
          <w:szCs w:val="18"/>
        </w:rPr>
        <w:t xml:space="preserve"> </w:t>
      </w:r>
      <w:hyperlink r:id="rId1" w:history="1">
        <w:r w:rsidR="005E2E85" w:rsidRPr="005E2E85">
          <w:rPr>
            <w:rStyle w:val="Hyperlink"/>
            <w:rFonts w:ascii="Garamond" w:hAnsi="Garamond"/>
            <w:color w:val="auto"/>
            <w:sz w:val="18"/>
            <w:szCs w:val="18"/>
          </w:rPr>
          <w:t>https://www.providencejournal.com/news/20190710/dcyf-director-trista-piccola-to-depart-after-tumultuous-2xbd-year-tenure</w:t>
        </w:r>
      </w:hyperlink>
    </w:p>
  </w:footnote>
  <w:footnote w:id="2">
    <w:p w14:paraId="03EAF314" w14:textId="2912D756" w:rsidR="00741C50" w:rsidRPr="005E2E85" w:rsidRDefault="00741C50">
      <w:pPr>
        <w:pStyle w:val="FootnoteText"/>
        <w:rPr>
          <w:rFonts w:ascii="Garamond" w:eastAsia="Malgun Gothic" w:hAnsi="Garamond"/>
          <w:sz w:val="18"/>
          <w:szCs w:val="18"/>
          <w:lang w:eastAsia="ko-KR"/>
        </w:rPr>
      </w:pPr>
      <w:r w:rsidRPr="005E2E85">
        <w:rPr>
          <w:rStyle w:val="FootnoteReference"/>
          <w:rFonts w:ascii="Garamond" w:hAnsi="Garamond"/>
          <w:sz w:val="18"/>
          <w:szCs w:val="18"/>
        </w:rPr>
        <w:footnoteRef/>
      </w:r>
      <w:r w:rsidRPr="005E2E85">
        <w:rPr>
          <w:rFonts w:ascii="Garamond" w:hAnsi="Garamond"/>
          <w:sz w:val="18"/>
          <w:szCs w:val="18"/>
        </w:rPr>
        <w:t xml:space="preserve"> </w:t>
      </w:r>
      <w:hyperlink r:id="rId2" w:history="1">
        <w:r w:rsidR="005E2E85" w:rsidRPr="005E2E85">
          <w:rPr>
            <w:rStyle w:val="Hyperlink"/>
            <w:rFonts w:ascii="Garamond" w:hAnsi="Garamond"/>
            <w:color w:val="auto"/>
            <w:sz w:val="18"/>
            <w:szCs w:val="18"/>
          </w:rPr>
          <w:t>https://truthout.org/articles/special-report-money-and-lies-in-anti-human-trafficking-ngos/</w:t>
        </w:r>
      </w:hyperlink>
    </w:p>
  </w:footnote>
  <w:footnote w:id="3">
    <w:p w14:paraId="4E0C8251" w14:textId="762B30BA" w:rsidR="005E2E85" w:rsidRPr="005E2E85" w:rsidRDefault="005E2E85">
      <w:pPr>
        <w:pStyle w:val="FootnoteText"/>
        <w:rPr>
          <w:rFonts w:ascii="Garamond" w:eastAsia="Malgun Gothic" w:hAnsi="Garamond"/>
          <w:sz w:val="18"/>
          <w:szCs w:val="18"/>
          <w:lang w:eastAsia="ko-KR"/>
        </w:rPr>
      </w:pPr>
      <w:r w:rsidRPr="005E2E85">
        <w:rPr>
          <w:rStyle w:val="FootnoteReference"/>
          <w:rFonts w:ascii="Garamond" w:hAnsi="Garamond"/>
          <w:sz w:val="18"/>
          <w:szCs w:val="18"/>
        </w:rPr>
        <w:footnoteRef/>
      </w:r>
      <w:r w:rsidRPr="005E2E85">
        <w:rPr>
          <w:rFonts w:ascii="Garamond" w:hAnsi="Garamond"/>
          <w:sz w:val="18"/>
          <w:szCs w:val="18"/>
        </w:rPr>
        <w:t xml:space="preserve"> </w:t>
      </w:r>
      <w:hyperlink r:id="rId3" w:history="1">
        <w:r w:rsidRPr="005E2E85">
          <w:rPr>
            <w:rStyle w:val="Hyperlink"/>
            <w:rFonts w:ascii="Garamond" w:hAnsi="Garamond"/>
            <w:color w:val="auto"/>
            <w:sz w:val="18"/>
            <w:szCs w:val="18"/>
          </w:rPr>
          <w:t>https://www.providencejournal.com/news/20180409/teen-accused-of-trafficking-underage-girl-from-newport-group-home</w:t>
        </w:r>
      </w:hyperlink>
    </w:p>
  </w:footnote>
  <w:footnote w:id="4">
    <w:p w14:paraId="69B3533E" w14:textId="6A222380" w:rsidR="00741C50" w:rsidRPr="005E2E85" w:rsidRDefault="00741C50">
      <w:pPr>
        <w:pStyle w:val="FootnoteText"/>
        <w:rPr>
          <w:rFonts w:ascii="Garamond" w:eastAsia="Malgun Gothic" w:hAnsi="Garamond"/>
          <w:sz w:val="18"/>
          <w:szCs w:val="18"/>
          <w:lang w:eastAsia="ko-KR"/>
        </w:rPr>
      </w:pPr>
      <w:r w:rsidRPr="005E2E85">
        <w:rPr>
          <w:rStyle w:val="FootnoteReference"/>
          <w:rFonts w:ascii="Garamond" w:hAnsi="Garamond"/>
          <w:sz w:val="18"/>
          <w:szCs w:val="18"/>
        </w:rPr>
        <w:footnoteRef/>
      </w:r>
      <w:r w:rsidRPr="005E2E85">
        <w:rPr>
          <w:rFonts w:ascii="Garamond" w:hAnsi="Garamond"/>
          <w:sz w:val="18"/>
          <w:szCs w:val="18"/>
        </w:rPr>
        <w:t xml:space="preserve"> </w:t>
      </w:r>
      <w:hyperlink r:id="rId4" w:history="1">
        <w:r w:rsidR="005E2E85" w:rsidRPr="005E2E85">
          <w:rPr>
            <w:rStyle w:val="Hyperlink"/>
            <w:rFonts w:ascii="Garamond" w:hAnsi="Garamond"/>
            <w:sz w:val="18"/>
            <w:szCs w:val="18"/>
          </w:rPr>
          <w:t>https://www.ohchr.org/en/professionalinterest/pages/crc.aspx</w:t>
        </w:r>
      </w:hyperlink>
    </w:p>
  </w:footnote>
  <w:footnote w:id="5">
    <w:p w14:paraId="438FE230" w14:textId="4BCD7152" w:rsidR="00741C50" w:rsidRPr="005E2E85" w:rsidRDefault="00741C50" w:rsidP="005E2E85">
      <w:pPr>
        <w:pStyle w:val="NormalWeb"/>
        <w:spacing w:before="0" w:beforeAutospacing="0" w:after="180" w:afterAutospacing="0"/>
        <w:ind w:left="450" w:hanging="450"/>
        <w:rPr>
          <w:rFonts w:ascii="Garamond" w:hAnsi="Garamond"/>
          <w:color w:val="000000"/>
          <w:sz w:val="18"/>
          <w:szCs w:val="18"/>
        </w:rPr>
      </w:pPr>
      <w:r w:rsidRPr="005E2E85">
        <w:rPr>
          <w:rStyle w:val="FootnoteReference"/>
          <w:rFonts w:ascii="Garamond" w:hAnsi="Garamond"/>
          <w:sz w:val="18"/>
          <w:szCs w:val="18"/>
        </w:rPr>
        <w:footnoteRef/>
      </w:r>
      <w:r w:rsidRPr="005E2E85">
        <w:rPr>
          <w:rFonts w:ascii="Garamond" w:hAnsi="Garamond"/>
          <w:sz w:val="18"/>
          <w:szCs w:val="18"/>
        </w:rPr>
        <w:t xml:space="preserve"> </w:t>
      </w:r>
      <w:proofErr w:type="spellStart"/>
      <w:r w:rsidR="005E2E85" w:rsidRPr="005E2E85">
        <w:rPr>
          <w:rFonts w:ascii="Garamond" w:hAnsi="Garamond"/>
          <w:color w:val="000000"/>
          <w:sz w:val="18"/>
          <w:szCs w:val="18"/>
        </w:rPr>
        <w:t>Doezema</w:t>
      </w:r>
      <w:proofErr w:type="spellEnd"/>
      <w:r w:rsidR="005E2E85" w:rsidRPr="005E2E85">
        <w:rPr>
          <w:rFonts w:ascii="Garamond" w:hAnsi="Garamond"/>
          <w:color w:val="000000"/>
          <w:sz w:val="18"/>
          <w:szCs w:val="18"/>
        </w:rPr>
        <w:t xml:space="preserve">, Jo. 1999. "Loose Women </w:t>
      </w:r>
      <w:proofErr w:type="gramStart"/>
      <w:r w:rsidR="005E2E85" w:rsidRPr="005E2E85">
        <w:rPr>
          <w:rFonts w:ascii="Garamond" w:hAnsi="Garamond"/>
          <w:color w:val="000000"/>
          <w:sz w:val="18"/>
          <w:szCs w:val="18"/>
        </w:rPr>
        <w:t>Or</w:t>
      </w:r>
      <w:proofErr w:type="gramEnd"/>
      <w:r w:rsidR="005E2E85" w:rsidRPr="005E2E85">
        <w:rPr>
          <w:rFonts w:ascii="Garamond" w:hAnsi="Garamond"/>
          <w:color w:val="000000"/>
          <w:sz w:val="18"/>
          <w:szCs w:val="18"/>
        </w:rPr>
        <w:t xml:space="preserve"> Lost Women? The Re-Emergence </w:t>
      </w:r>
      <w:proofErr w:type="gramStart"/>
      <w:r w:rsidR="005E2E85" w:rsidRPr="005E2E85">
        <w:rPr>
          <w:rFonts w:ascii="Garamond" w:hAnsi="Garamond"/>
          <w:color w:val="000000"/>
          <w:sz w:val="18"/>
          <w:szCs w:val="18"/>
        </w:rPr>
        <w:t>Of</w:t>
      </w:r>
      <w:proofErr w:type="gramEnd"/>
      <w:r w:rsidR="005E2E85" w:rsidRPr="005E2E85">
        <w:rPr>
          <w:rFonts w:ascii="Garamond" w:hAnsi="Garamond"/>
          <w:color w:val="000000"/>
          <w:sz w:val="18"/>
          <w:szCs w:val="18"/>
        </w:rPr>
        <w:t xml:space="preserve"> The Myth Of White Slavery In Contemporary Discourses Of Trafficking In Women." </w:t>
      </w:r>
      <w:r w:rsidR="005E2E85" w:rsidRPr="005E2E85">
        <w:rPr>
          <w:rFonts w:ascii="Garamond" w:hAnsi="Garamond"/>
          <w:i/>
          <w:iCs/>
          <w:color w:val="000000"/>
          <w:sz w:val="18"/>
          <w:szCs w:val="18"/>
        </w:rPr>
        <w:t>Gender Issues</w:t>
      </w:r>
      <w:r w:rsidR="005E2E85" w:rsidRPr="005E2E85">
        <w:rPr>
          <w:rFonts w:ascii="Garamond" w:hAnsi="Garamond"/>
          <w:color w:val="000000"/>
          <w:sz w:val="18"/>
          <w:szCs w:val="18"/>
        </w:rPr>
        <w:t> 18(1):23-50.</w:t>
      </w:r>
    </w:p>
  </w:footnote>
  <w:footnote w:id="6">
    <w:p w14:paraId="252FE083" w14:textId="32776A8A" w:rsidR="00741C50" w:rsidRPr="005E2E85" w:rsidRDefault="00741C50" w:rsidP="005E2E85">
      <w:pPr>
        <w:pStyle w:val="NormalWeb"/>
        <w:spacing w:before="0" w:beforeAutospacing="0" w:after="180" w:afterAutospacing="0"/>
        <w:ind w:left="450" w:hanging="450"/>
        <w:rPr>
          <w:rFonts w:ascii="Garamond" w:hAnsi="Garamond"/>
          <w:color w:val="000000"/>
          <w:sz w:val="18"/>
          <w:szCs w:val="18"/>
        </w:rPr>
      </w:pPr>
      <w:r w:rsidRPr="005E2E85">
        <w:rPr>
          <w:rStyle w:val="FootnoteReference"/>
          <w:rFonts w:ascii="Garamond" w:hAnsi="Garamond"/>
          <w:sz w:val="18"/>
          <w:szCs w:val="18"/>
        </w:rPr>
        <w:footnoteRef/>
      </w:r>
      <w:r w:rsidRPr="005E2E85">
        <w:rPr>
          <w:rFonts w:ascii="Garamond" w:hAnsi="Garamond"/>
          <w:sz w:val="18"/>
          <w:szCs w:val="18"/>
        </w:rPr>
        <w:t xml:space="preserve"> </w:t>
      </w:r>
      <w:r w:rsidR="005E2E85" w:rsidRPr="005E2E85">
        <w:rPr>
          <w:rFonts w:ascii="Garamond" w:hAnsi="Garamond"/>
          <w:color w:val="000000"/>
          <w:sz w:val="18"/>
          <w:szCs w:val="18"/>
        </w:rPr>
        <w:t xml:space="preserve">Gruber, Aya, Amy J. Cohen, and Kate </w:t>
      </w:r>
      <w:proofErr w:type="spellStart"/>
      <w:r w:rsidR="005E2E85" w:rsidRPr="005E2E85">
        <w:rPr>
          <w:rFonts w:ascii="Garamond" w:hAnsi="Garamond"/>
          <w:color w:val="000000"/>
          <w:sz w:val="18"/>
          <w:szCs w:val="18"/>
        </w:rPr>
        <w:t>Mogulescu</w:t>
      </w:r>
      <w:proofErr w:type="spellEnd"/>
      <w:r w:rsidR="005E2E85" w:rsidRPr="005E2E85">
        <w:rPr>
          <w:rFonts w:ascii="Garamond" w:hAnsi="Garamond"/>
          <w:color w:val="000000"/>
          <w:sz w:val="18"/>
          <w:szCs w:val="18"/>
        </w:rPr>
        <w:t xml:space="preserve">. 2016. "Penal Welfare </w:t>
      </w:r>
      <w:proofErr w:type="gramStart"/>
      <w:r w:rsidR="005E2E85" w:rsidRPr="005E2E85">
        <w:rPr>
          <w:rFonts w:ascii="Garamond" w:hAnsi="Garamond"/>
          <w:color w:val="000000"/>
          <w:sz w:val="18"/>
          <w:szCs w:val="18"/>
        </w:rPr>
        <w:t>And</w:t>
      </w:r>
      <w:proofErr w:type="gramEnd"/>
      <w:r w:rsidR="005E2E85" w:rsidRPr="005E2E85">
        <w:rPr>
          <w:rFonts w:ascii="Garamond" w:hAnsi="Garamond"/>
          <w:color w:val="000000"/>
          <w:sz w:val="18"/>
          <w:szCs w:val="18"/>
        </w:rPr>
        <w:t xml:space="preserve"> The New Human Trafficking Intervention Courts." </w:t>
      </w:r>
      <w:r w:rsidR="005E2E85" w:rsidRPr="005E2E85">
        <w:rPr>
          <w:rFonts w:ascii="Garamond" w:hAnsi="Garamond"/>
          <w:i/>
          <w:iCs/>
          <w:color w:val="000000"/>
          <w:sz w:val="18"/>
          <w:szCs w:val="18"/>
        </w:rPr>
        <w:t>SSRN Electronic Journal</w:t>
      </w:r>
      <w:r w:rsidR="005E2E85" w:rsidRPr="005E2E85">
        <w:rPr>
          <w:rFonts w:ascii="Garamond" w:hAnsi="Garamond"/>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73933"/>
    <w:multiLevelType w:val="hybridMultilevel"/>
    <w:tmpl w:val="65A85ACE"/>
    <w:lvl w:ilvl="0" w:tplc="D62C03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64174"/>
    <w:multiLevelType w:val="multilevel"/>
    <w:tmpl w:val="94480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F67107"/>
    <w:multiLevelType w:val="multilevel"/>
    <w:tmpl w:val="D1589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1C"/>
    <w:rsid w:val="0001237B"/>
    <w:rsid w:val="000629FF"/>
    <w:rsid w:val="00065B25"/>
    <w:rsid w:val="000F7BC2"/>
    <w:rsid w:val="001E2B70"/>
    <w:rsid w:val="00386B95"/>
    <w:rsid w:val="003D769B"/>
    <w:rsid w:val="003E550F"/>
    <w:rsid w:val="00425239"/>
    <w:rsid w:val="00457127"/>
    <w:rsid w:val="00477B8D"/>
    <w:rsid w:val="004C33AE"/>
    <w:rsid w:val="004F3660"/>
    <w:rsid w:val="005E2E85"/>
    <w:rsid w:val="006A45AC"/>
    <w:rsid w:val="00741C50"/>
    <w:rsid w:val="007D5528"/>
    <w:rsid w:val="008E339C"/>
    <w:rsid w:val="008E4AFC"/>
    <w:rsid w:val="008F3A47"/>
    <w:rsid w:val="00952726"/>
    <w:rsid w:val="0098724A"/>
    <w:rsid w:val="009D65CC"/>
    <w:rsid w:val="00A00FB8"/>
    <w:rsid w:val="00A563DF"/>
    <w:rsid w:val="00A56782"/>
    <w:rsid w:val="00A66259"/>
    <w:rsid w:val="00AA0577"/>
    <w:rsid w:val="00AD541C"/>
    <w:rsid w:val="00B0770C"/>
    <w:rsid w:val="00C61FFA"/>
    <w:rsid w:val="00CF0742"/>
    <w:rsid w:val="00DD6DDB"/>
    <w:rsid w:val="00E25627"/>
    <w:rsid w:val="00E54E79"/>
    <w:rsid w:val="00EC1130"/>
    <w:rsid w:val="00F576AF"/>
    <w:rsid w:val="00FD5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5635"/>
  <w15:docId w15:val="{BEB41D0D-E61E-48F2-9F30-EF78A9F8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4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55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28"/>
    <w:rPr>
      <w:rFonts w:ascii="Segoe UI" w:hAnsi="Segoe UI" w:cs="Segoe UI"/>
      <w:sz w:val="18"/>
      <w:szCs w:val="18"/>
    </w:rPr>
  </w:style>
  <w:style w:type="paragraph" w:styleId="ListParagraph">
    <w:name w:val="List Paragraph"/>
    <w:basedOn w:val="Normal"/>
    <w:uiPriority w:val="34"/>
    <w:qFormat/>
    <w:rsid w:val="00065B25"/>
    <w:pPr>
      <w:ind w:left="720"/>
      <w:contextualSpacing/>
    </w:pPr>
  </w:style>
  <w:style w:type="paragraph" w:styleId="FootnoteText">
    <w:name w:val="footnote text"/>
    <w:basedOn w:val="Normal"/>
    <w:link w:val="FootnoteTextChar"/>
    <w:uiPriority w:val="99"/>
    <w:semiHidden/>
    <w:unhideWhenUsed/>
    <w:rsid w:val="00741C50"/>
    <w:pPr>
      <w:spacing w:line="240" w:lineRule="auto"/>
    </w:pPr>
    <w:rPr>
      <w:sz w:val="20"/>
      <w:szCs w:val="20"/>
    </w:rPr>
  </w:style>
  <w:style w:type="character" w:customStyle="1" w:styleId="FootnoteTextChar">
    <w:name w:val="Footnote Text Char"/>
    <w:basedOn w:val="DefaultParagraphFont"/>
    <w:link w:val="FootnoteText"/>
    <w:uiPriority w:val="99"/>
    <w:semiHidden/>
    <w:rsid w:val="00741C50"/>
    <w:rPr>
      <w:sz w:val="20"/>
      <w:szCs w:val="20"/>
    </w:rPr>
  </w:style>
  <w:style w:type="character" w:styleId="FootnoteReference">
    <w:name w:val="footnote reference"/>
    <w:basedOn w:val="DefaultParagraphFont"/>
    <w:uiPriority w:val="99"/>
    <w:semiHidden/>
    <w:unhideWhenUsed/>
    <w:rsid w:val="00741C50"/>
    <w:rPr>
      <w:vertAlign w:val="superscript"/>
    </w:rPr>
  </w:style>
  <w:style w:type="character" w:styleId="Hyperlink">
    <w:name w:val="Hyperlink"/>
    <w:basedOn w:val="DefaultParagraphFont"/>
    <w:uiPriority w:val="99"/>
    <w:unhideWhenUsed/>
    <w:rsid w:val="005E2E85"/>
    <w:rPr>
      <w:color w:val="0000FF" w:themeColor="hyperlink"/>
      <w:u w:val="single"/>
    </w:rPr>
  </w:style>
  <w:style w:type="character" w:styleId="UnresolvedMention">
    <w:name w:val="Unresolved Mention"/>
    <w:basedOn w:val="DefaultParagraphFont"/>
    <w:uiPriority w:val="99"/>
    <w:semiHidden/>
    <w:unhideWhenUsed/>
    <w:rsid w:val="005E2E85"/>
    <w:rPr>
      <w:color w:val="605E5C"/>
      <w:shd w:val="clear" w:color="auto" w:fill="E1DFDD"/>
    </w:rPr>
  </w:style>
  <w:style w:type="character" w:styleId="FollowedHyperlink">
    <w:name w:val="FollowedHyperlink"/>
    <w:basedOn w:val="DefaultParagraphFont"/>
    <w:uiPriority w:val="99"/>
    <w:semiHidden/>
    <w:unhideWhenUsed/>
    <w:rsid w:val="005E2E85"/>
    <w:rPr>
      <w:color w:val="800080" w:themeColor="followedHyperlink"/>
      <w:u w:val="single"/>
    </w:rPr>
  </w:style>
  <w:style w:type="paragraph" w:styleId="NormalWeb">
    <w:name w:val="Normal (Web)"/>
    <w:basedOn w:val="Normal"/>
    <w:uiPriority w:val="99"/>
    <w:unhideWhenUsed/>
    <w:rsid w:val="005E2E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rovidencejournal.com/news/20180409/teen-accused-of-trafficking-underage-girl-from-newport-group-home" TargetMode="External"/><Relationship Id="rId3" Type="http://schemas.openxmlformats.org/officeDocument/2006/relationships/settings" Target="settings.xml"/><Relationship Id="rId7" Type="http://schemas.openxmlformats.org/officeDocument/2006/relationships/hyperlink" Target="https://www.abc6.com/story/40631529/report-dcyf-inaction-contributes-to-death-of-foster-ch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rovidencejournal.com/news/20180409/teen-accused-of-trafficking-underage-girl-from-newport-group-home" TargetMode="External"/><Relationship Id="rId2" Type="http://schemas.openxmlformats.org/officeDocument/2006/relationships/hyperlink" Target="https://truthout.org/articles/special-report-money-and-lies-in-anti-human-trafficking-ngos/" TargetMode="External"/><Relationship Id="rId1" Type="http://schemas.openxmlformats.org/officeDocument/2006/relationships/hyperlink" Target="https://www.providencejournal.com/news/20190710/dcyf-director-trista-piccola-to-depart-after-tumultuous-2xbd-year-tenure" TargetMode="External"/><Relationship Id="rId4" Type="http://schemas.openxmlformats.org/officeDocument/2006/relationships/hyperlink" Target="https://www.ohchr.org/en/professionalinterest/pages/cr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3</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 Yeonhoo</cp:lastModifiedBy>
  <cp:revision>22</cp:revision>
  <dcterms:created xsi:type="dcterms:W3CDTF">2019-12-17T12:48:00Z</dcterms:created>
  <dcterms:modified xsi:type="dcterms:W3CDTF">2020-01-29T19:55:00Z</dcterms:modified>
</cp:coreProperties>
</file>